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AE9" w:rsidRDefault="00724832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Пояснительная записка</w:t>
      </w:r>
    </w:p>
    <w:p w:rsidR="00761AE9" w:rsidRDefault="00724832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 проекту закона Оренбургской области </w:t>
      </w:r>
    </w:p>
    <w:p w:rsidR="00761AE9" w:rsidRDefault="00724832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«О внесении изменений в Закон Оренбургской области «Об областном</w:t>
      </w:r>
    </w:p>
    <w:p w:rsidR="00761AE9" w:rsidRDefault="00724832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бюджете на 2025 год и на плановый период 2026 и 2027 годов»</w:t>
      </w:r>
    </w:p>
    <w:p w:rsidR="00761AE9" w:rsidRDefault="00761AE9">
      <w:pPr>
        <w:jc w:val="center"/>
        <w:rPr>
          <w:sz w:val="28"/>
          <w:szCs w:val="28"/>
        </w:rPr>
      </w:pPr>
    </w:p>
    <w:p w:rsidR="00761AE9" w:rsidRDefault="00761A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1AE9" w:rsidRDefault="00724832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оценкой ожидаемого исполнения доходов областного бюджета в 2025 году, представленной главными администраторами доходов, и с учетом фактических поступлений доходов областного бюджета, которые сложились по состоянию на 1 сентября 2025 года:</w:t>
      </w:r>
    </w:p>
    <w:p w:rsidR="00761AE9" w:rsidRDefault="00724832">
      <w:pPr>
        <w:spacing w:before="12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 на основании данных Управления Федеральной налоговой службы по Оренбургской области поступления по: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налогу на прибыль организаций уменьшаются на сумму                  18 804 020,0 тыс. рублей;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налогу на доходы физических лиц увеличиваются на сумму               2 216 291,0 тыс. рублей;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налогам на товары (работы, услуги), реализуемые на территории Российской Федерации, уменьшаются на сумму 283 129,0 тыс. рублей;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налогу на профессиональный доход увеличиваются на сумму             196 239,0 тыс. рублей;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налогу на имущество организаций уменьшаются на сумму                          165 045,0 тыс. рублей;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налогу на добычу полезных ископаемых уменьшаются на сумму           94 617,0 тыс. рублей;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доходам от сумм пеней, предусмотренных законодательством Российской Федерации о налогах и сборах, увеличиваются на сумму 202 979,0 тыс. рублей; 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2) на основании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министерства природных ресурсов, экологии и имущественных отношений Оренбургской области поступления по доходам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Федерации, увеличиваются на сумму 113 230,0 тыс. рублей;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3) на основании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Межрегионального территориального управления Федеральной службы по надзору в сфере транспорта по Приволжскому федеральному округу увеличивается объем поступлений административных штрафов за административные правонарушения в области дорожного движения в 2025 году – на сумму 422 291,0 тыс. рублей;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4) на основании данных Управления Министерства внутренних дел Российской Федерации по Оренбургской области увеличивается объем поступлений административных штрафов за административные правонарушения в области дорожного движения в 2025 году – на сумму              367 296,0 тыс. рублей. 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Исходя из фактических поступлений, сложившихся по состоянию на                     1 сентября 2025 года, и с учетом оценки ожидаемого исполнения доходов </w:t>
      </w: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областного бюджета до конца 2025 года, прогнозные значения по доходам от операций по управлению остатками средств на едином казначейском счете, зачисляемым в областной бюджет, предлагается увеличить на                               1 910 495,0 тыс. рублей.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налоговые и неналоговые доходы на 2025 год уменьшаются на 13 917 990,0 тыс. рублей и составят 105 906 972,0 тыс. рублей.</w:t>
      </w:r>
    </w:p>
    <w:p w:rsidR="00761AE9" w:rsidRDefault="00724832">
      <w:pPr>
        <w:pStyle w:val="af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безвозмездных поступлений увеличен на 5 103 139,8 тыс. рублей, в том числе за счет безвозмездных поступлений от других бюджетов бюджетной системы Российской Федерации на 4 769 591,8 тыс. рублей, из них 628 100,0 тыс. рублей за счет возмещения понесенных областным бюджетом в 2024 году расходов на финансовое обеспечение отдельных мер по ликвидации последствий чрезвычайной ситуации, сложившейся в результате прохождения весеннего паводка на территории Оренбургской области в 2024 году, счет безвозмездных поступлений от государственных (муниципальных) организаций на 207 720 тыс. рублей, за счет безвозмездных поступлений от негосударственных организаций на 125 755,9 тыс. рублей.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доходов составит 148 519 119,4 тыс. рублей, что меньше утвержденного в Законе Оренбургской области от 18 декабря 2024 года                        </w:t>
      </w:r>
      <w:r>
        <w:rPr>
          <w:rFonts w:ascii="Times New Roman" w:hAnsi="Times New Roman" w:cs="Times New Roman"/>
          <w:sz w:val="28"/>
        </w:rPr>
        <w:t>№ 1366/584-VII-ОЗ</w:t>
      </w:r>
      <w:r>
        <w:rPr>
          <w:rFonts w:ascii="Times New Roman" w:hAnsi="Times New Roman" w:cs="Times New Roman"/>
          <w:sz w:val="28"/>
          <w:szCs w:val="28"/>
        </w:rPr>
        <w:t xml:space="preserve"> «Об областном бюджете на 2025 год и на плановый период 2026 и 2027 годов» объема доходов на 8 814 850,2 тыс. рублей.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областного бюджета предлагается увеличить в 2025 году на          11 263 932,1 тыс. рублей, в том числе: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увеличения безвозмездных поступлений, – 4 475 039,8 тыс. рублей;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источников финансирования дефицита бюджета –                                  5 974 159,5 тыс. рублей;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увеличения расходов дорожного фонда на                              1 257 400,3 тыс. рублей (в том числе за счет остатков на 1 января 2025 года – 459 056,7 тыс. рублей);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уменьшения расходов в связи с уменьшением средств бюджетного кредита на финансирование инфраструктурных проектов в объеме 442 667,5 тыс. рублей.</w:t>
      </w:r>
    </w:p>
    <w:p w:rsidR="00761AE9" w:rsidRDefault="00724832">
      <w:pPr>
        <w:ind w:firstLine="708"/>
        <w:jc w:val="both"/>
        <w:rPr>
          <w:highlight w:val="white"/>
        </w:rPr>
      </w:pPr>
      <w:r>
        <w:rPr>
          <w:sz w:val="28"/>
          <w:szCs w:val="28"/>
        </w:rPr>
        <w:t>В расходах областного бюджета учтено увеличение средств на обеспечение мер социальной поддержки участников специальной военной операции, а также членов их семей на 12 886 174,7 тыс. рублей (всего расходы составляют – 13 027 504,7 тыс. рублей</w:t>
      </w:r>
      <w:r>
        <w:rPr>
          <w:sz w:val="28"/>
          <w:szCs w:val="28"/>
          <w:highlight w:val="white"/>
        </w:rPr>
        <w:t>), в том числе                                   12 726 667,2 тыс. рублей (положение пункта 7 статьи 15 Федерального закона от 29 октября 2024 года № 367-ФЗ «О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году»).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Учтена приоритизация расходов областного бюджета в соответствии с постановлениями Оренбургской области 04 февраля 2025 года № 83-пп, от  </w:t>
      </w:r>
      <w:r>
        <w:rPr>
          <w:rFonts w:ascii="Times New Roman" w:hAnsi="Times New Roman" w:cs="Times New Roman"/>
          <w:sz w:val="28"/>
          <w:szCs w:val="28"/>
        </w:rPr>
        <w:lastRenderedPageBreak/>
        <w:t>19 мая 2025 года № 433-пп, от 15 июля 2025 № 670-пп в объеме                   6 742 911,5 тыс. рублей.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учтено перераспределение расходов главных распорядителей средств областного бюджета в целях обеспечения расходных обязательств областного бюджета.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предлагаемых изменений в 2025 году дефицит областного бюджета увеличится и составит 33 310 668,2 тыс. рублей.</w:t>
      </w:r>
    </w:p>
    <w:p w:rsidR="00761AE9" w:rsidRDefault="007248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дефицита бюджета являются:</w:t>
      </w:r>
    </w:p>
    <w:p w:rsidR="00761AE9" w:rsidRDefault="0072483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изменение остатков средств на счетах бюджета на </w:t>
      </w:r>
      <w:r>
        <w:rPr>
          <w:sz w:val="28"/>
          <w:szCs w:val="28"/>
        </w:rPr>
        <w:t>1 января 2025 года</w:t>
      </w:r>
      <w:r>
        <w:rPr>
          <w:color w:val="000000"/>
          <w:sz w:val="28"/>
          <w:szCs w:val="28"/>
        </w:rPr>
        <w:t>, в сумме, – 16 352 976,1 тыс. рублей;</w:t>
      </w:r>
    </w:p>
    <w:p w:rsidR="00761AE9" w:rsidRDefault="007248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бюджетных кредитов, предоставленных бюджетам субъектов Российской Федерации на финансовое обеспечение реализации инфраструктурных проектов, возврат которых осуществляется субъектом Российской Федерации, в сумме, – 2 280 751,6 тыс. рублей;</w:t>
      </w:r>
    </w:p>
    <w:p w:rsidR="00761AE9" w:rsidRDefault="007248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кредитов кредитных организаций –                                            16 700 000,0 тыс. рублей;</w:t>
      </w:r>
    </w:p>
    <w:p w:rsidR="00761AE9" w:rsidRDefault="007248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иные источники (включая погашение заимствований) –                                     -2 023 059,5 тыс. рублей.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2026 году увеличение налоговых и неналоговых доходов составит 650 629,0 тыс. рублей в связи с ожидаемым увеличением поступлений по доходам, связанным с административными правонарушениями, за административные правонарушения в области дорожного движения.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безвозмездных поступлений сократится на                                           193 841,3 тыс. рублей.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доходов на 2026 год составит 155 846 292,1 тыс. рублей, с увеличением на 456 787,7 тыс. рублей к первоначально утвержденному Закону Оренбургской области от 18 декабря 2024 года </w:t>
      </w:r>
      <w:r>
        <w:rPr>
          <w:rFonts w:ascii="Times New Roman" w:hAnsi="Times New Roman" w:cs="Times New Roman"/>
          <w:sz w:val="28"/>
        </w:rPr>
        <w:t>№ 1366/584-VII-ОЗ</w:t>
      </w:r>
      <w:r>
        <w:rPr>
          <w:rFonts w:ascii="Times New Roman" w:hAnsi="Times New Roman" w:cs="Times New Roman"/>
          <w:sz w:val="28"/>
          <w:szCs w:val="28"/>
        </w:rPr>
        <w:t xml:space="preserve"> «Об областном бюджете на 2025 год и на плановый период 2026 и 2027 годов».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областного бюджета на 2026 год увеличиваются на                            1 770 282,0 тыс. рублей, в том числе на 1 313 494,3 тыс. рублей за счет реализации мероприятий по казначейскому инфраструктурному кредиту, и составит 160 951 201,6 тыс. рублей.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областного бюджета увеличивается на 1 313 494,3 тыс. рублей и составит 5 104 909,5 тыс. рублей.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безвозмездные поступления увеличиваются на                            24 167,3 тыс. рублей. Общий объем доходов составит 158 926 199,7 тыс. рублей.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областного бюджета на 2027 год увеличиваются на                          722 258,3 тыс. рублей, в том числе на 698 091,0 тыс. рублей за счет реализации мероприятий по казначейскому инфраструктурному кредиту, и составит 164 157 753,9 тыс. рублей.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областного бюджета на 2027 год увеличивается на                        698 091,0 тыс. рублей и составит 5 231 554,2 тыс. рублей.</w:t>
      </w:r>
    </w:p>
    <w:p w:rsidR="00761AE9" w:rsidRDefault="00724832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Предлагается уточнить верхний предел государственного внутреннего долга Оренбургской области на 1 января 2026 года на 10 075 932,4 тыс. </w:t>
      </w:r>
      <w:r>
        <w:rPr>
          <w:rFonts w:ascii="Times New Roman" w:hAnsi="Times New Roman" w:cs="Times New Roman"/>
          <w:sz w:val="28"/>
          <w:szCs w:val="28"/>
        </w:rPr>
        <w:lastRenderedPageBreak/>
        <w:t>рублей и утвердить на уровне 30 733 446,2 тыс. рублей, по состоянию на        1 января 2027 года на 11 391 31</w:t>
      </w:r>
      <w:r w:rsidR="0096207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96207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утвердить на уровне 35 851 90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1,1 тыс. рублей, по состоянию на 1 января 2028 года на 12 022 905,3 тыс. рублей и утвердить на уровне 41 092 041,9 тыс. рублей. </w:t>
      </w:r>
    </w:p>
    <w:p w:rsidR="00761AE9" w:rsidRDefault="007248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Предлагается увеличить верхний предел государственного внешнего долга Оренбургской области по состоянию на 1 января 2026 года на 0,1 тыс. рублей и утвердить на уровне 2 617 796,2 тыс. рублей, по состоянию на           1 января 2027 года на 0,1 тыс. рублей и утвердить на уровне 2 351 278,2 тыс. рублей, </w:t>
      </w:r>
      <w:r>
        <w:rPr>
          <w:rFonts w:ascii="Times New Roman" w:hAnsi="Times New Roman" w:cs="Times New Roman"/>
          <w:sz w:val="28"/>
          <w:szCs w:val="28"/>
          <w:highlight w:val="white"/>
        </w:rPr>
        <w:t>по состоянию на 1 января 2028 года объем верхнего предела государственного долга не изменяется – 2 061 069,7 тыс. рублей.</w:t>
      </w:r>
    </w:p>
    <w:sectPr w:rsidR="00761AE9">
      <w:headerReference w:type="even" r:id="rId7"/>
      <w:headerReference w:type="default" r:id="rId8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AE9" w:rsidRDefault="00724832">
      <w:r>
        <w:separator/>
      </w:r>
    </w:p>
  </w:endnote>
  <w:endnote w:type="continuationSeparator" w:id="0">
    <w:p w:rsidR="00761AE9" w:rsidRDefault="00724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AE9" w:rsidRDefault="00724832">
      <w:r>
        <w:separator/>
      </w:r>
    </w:p>
  </w:footnote>
  <w:footnote w:type="continuationSeparator" w:id="0">
    <w:p w:rsidR="00761AE9" w:rsidRDefault="00724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9" w:rsidRDefault="00724832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761AE9" w:rsidRDefault="00761AE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9" w:rsidRDefault="00724832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962078">
      <w:rPr>
        <w:rStyle w:val="af9"/>
        <w:noProof/>
      </w:rPr>
      <w:t>3</w:t>
    </w:r>
    <w:r>
      <w:rPr>
        <w:rStyle w:val="af9"/>
      </w:rPr>
      <w:fldChar w:fldCharType="end"/>
    </w:r>
  </w:p>
  <w:p w:rsidR="00761AE9" w:rsidRDefault="00761AE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9585D"/>
    <w:multiLevelType w:val="hybridMultilevel"/>
    <w:tmpl w:val="7838839E"/>
    <w:lvl w:ilvl="0" w:tplc="C1E8672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/>
      </w:rPr>
    </w:lvl>
    <w:lvl w:ilvl="1" w:tplc="A9E8C7B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/>
      </w:rPr>
    </w:lvl>
    <w:lvl w:ilvl="2" w:tplc="3AA64B96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 w:tplc="0EAE6968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 w:tplc="49220E4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/>
      </w:rPr>
    </w:lvl>
    <w:lvl w:ilvl="5" w:tplc="B240C382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 w:tplc="F1169F3A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 w:tplc="0A026D46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/>
      </w:rPr>
    </w:lvl>
    <w:lvl w:ilvl="8" w:tplc="821E58B2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" w15:restartNumberingAfterBreak="0">
    <w:nsid w:val="0F433DB5"/>
    <w:multiLevelType w:val="hybridMultilevel"/>
    <w:tmpl w:val="31363BA2"/>
    <w:lvl w:ilvl="0" w:tplc="0652E9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 w:tplc="6692640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 w:tplc="0B7837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53ED8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C2062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B86CE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4468A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CE803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85CB4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2E7B6AE3"/>
    <w:multiLevelType w:val="hybridMultilevel"/>
    <w:tmpl w:val="B61ABC44"/>
    <w:lvl w:ilvl="0" w:tplc="F4F27F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687A98F8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E82448AA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F14E70A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00A7890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DF8DCC0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5E50BA52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4E2C8634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E894355A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54687245"/>
    <w:multiLevelType w:val="hybridMultilevel"/>
    <w:tmpl w:val="41BE8112"/>
    <w:lvl w:ilvl="0" w:tplc="0CE03210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EEE8D0D6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5FACD94A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A3A8CF42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B478E3DA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B11AB5DE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A40E36DE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4628FF1C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786A013E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E9"/>
    <w:rsid w:val="00724832"/>
    <w:rsid w:val="00761AE9"/>
    <w:rsid w:val="0096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274A"/>
  <w15:docId w15:val="{93EB4E93-F24B-4B87-A3E6-69A8162B5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ind w:firstLine="90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Нижний колонтитул Знак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link w:val="ad"/>
    <w:uiPriority w:val="35"/>
    <w:rPr>
      <w:b/>
      <w:bCs/>
      <w:color w:val="4F81BD" w:themeColor="accent1"/>
      <w:sz w:val="18"/>
      <w:szCs w:val="18"/>
    </w:rPr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semiHidden/>
    <w:rPr>
      <w:rFonts w:cs="Times New Roman"/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page number"/>
    <w:rPr>
      <w:rFonts w:cs="Times New Roman"/>
    </w:rPr>
  </w:style>
  <w:style w:type="paragraph" w:styleId="afa">
    <w:name w:val="Body Text Indent"/>
    <w:basedOn w:val="a"/>
    <w:pPr>
      <w:ind w:firstLine="900"/>
      <w:jc w:val="both"/>
    </w:pPr>
    <w:rPr>
      <w:sz w:val="28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pPr>
      <w:spacing w:after="120"/>
    </w:pPr>
  </w:style>
  <w:style w:type="paragraph" w:styleId="25">
    <w:name w:val="Body Text Indent 2"/>
    <w:basedOn w:val="a"/>
    <w:pPr>
      <w:ind w:firstLine="540"/>
      <w:jc w:val="both"/>
    </w:pPr>
    <w:rPr>
      <w:sz w:val="28"/>
      <w:szCs w:val="28"/>
    </w:rPr>
  </w:style>
  <w:style w:type="paragraph" w:styleId="afd">
    <w:name w:val="No Spacing"/>
    <w:uiPriority w:val="1"/>
    <w:qFormat/>
    <w:rPr>
      <w:sz w:val="24"/>
      <w:szCs w:val="24"/>
      <w:lang w:eastAsia="ru-RU"/>
    </w:rPr>
  </w:style>
  <w:style w:type="paragraph" w:styleId="afe">
    <w:name w:val="List Paragraph"/>
    <w:basedOn w:val="a"/>
    <w:pPr>
      <w:spacing w:after="200" w:line="276" w:lineRule="auto"/>
      <w:ind w:left="720"/>
    </w:pPr>
    <w:rPr>
      <w:sz w:val="28"/>
      <w:szCs w:val="22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character" w:styleId="aff">
    <w:name w:val="annotation reference"/>
    <w:semiHidden/>
    <w:rPr>
      <w:rFonts w:cs="Times New Roman"/>
      <w:sz w:val="16"/>
      <w:szCs w:val="16"/>
    </w:rPr>
  </w:style>
  <w:style w:type="paragraph" w:styleId="aff0">
    <w:name w:val="annotation text"/>
    <w:basedOn w:val="a"/>
    <w:link w:val="aff1"/>
    <w:semiHidden/>
    <w:rPr>
      <w:sz w:val="20"/>
      <w:szCs w:val="20"/>
      <w:lang w:val="en-US" w:eastAsia="en-US"/>
    </w:rPr>
  </w:style>
  <w:style w:type="character" w:customStyle="1" w:styleId="aff1">
    <w:name w:val="Текст примечания Знак"/>
    <w:link w:val="aff0"/>
    <w:semiHidden/>
    <w:rPr>
      <w:rFonts w:cs="Times New Roman"/>
    </w:rPr>
  </w:style>
  <w:style w:type="paragraph" w:styleId="aff2">
    <w:name w:val="annotation subject"/>
    <w:basedOn w:val="aff0"/>
    <w:next w:val="aff0"/>
    <w:link w:val="aff3"/>
    <w:semiHidden/>
    <w:rPr>
      <w:b/>
      <w:bCs/>
    </w:rPr>
  </w:style>
  <w:style w:type="character" w:customStyle="1" w:styleId="aff3">
    <w:name w:val="Тема примечания Знак"/>
    <w:link w:val="aff2"/>
    <w:semiHidden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1299</Words>
  <Characters>7407</Characters>
  <Application>Microsoft Office Word</Application>
  <DocSecurity>0</DocSecurity>
  <Lines>61</Lines>
  <Paragraphs>17</Paragraphs>
  <ScaleCrop>false</ScaleCrop>
  <Company>OblFo</Company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SablinaNA</dc:creator>
  <cp:lastModifiedBy>Ренёв Владислав Олегович</cp:lastModifiedBy>
  <cp:revision>77</cp:revision>
  <dcterms:created xsi:type="dcterms:W3CDTF">2023-11-10T05:33:00Z</dcterms:created>
  <dcterms:modified xsi:type="dcterms:W3CDTF">2025-10-14T05:14:00Z</dcterms:modified>
  <cp:version>983040</cp:version>
</cp:coreProperties>
</file>